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1116" w14:textId="77777777" w:rsidR="009A7AA2" w:rsidRPr="002E5485" w:rsidRDefault="009A7AA2" w:rsidP="008D481F">
      <w:pPr>
        <w:spacing w:after="0" w:line="300" w:lineRule="auto"/>
        <w:rPr>
          <w:rFonts w:ascii="Gellix" w:hAnsi="Gellix"/>
          <w:b/>
          <w:bCs/>
        </w:rPr>
      </w:pPr>
      <w:r w:rsidRPr="002E5485">
        <w:rPr>
          <w:rFonts w:ascii="Gellix" w:hAnsi="Gellix"/>
          <w:b/>
          <w:bCs/>
        </w:rPr>
        <w:t xml:space="preserve">PROGRAMME ADRESSED: </w:t>
      </w:r>
    </w:p>
    <w:p w14:paraId="02AD3983" w14:textId="05AE6478" w:rsidR="00E8180A" w:rsidRPr="002E5485" w:rsidRDefault="00C503C1" w:rsidP="008D481F">
      <w:pPr>
        <w:spacing w:after="0" w:line="300" w:lineRule="auto"/>
        <w:rPr>
          <w:rFonts w:ascii="Gellix" w:hAnsi="Gellix"/>
          <w:b/>
          <w:bCs/>
        </w:rPr>
      </w:pPr>
      <w:r w:rsidRPr="002E5485">
        <w:rPr>
          <w:rFonts w:ascii="Gellix" w:hAnsi="Gellix"/>
          <w:b/>
          <w:bCs/>
        </w:rPr>
        <w:t xml:space="preserve">ERASMUS+ </w:t>
      </w:r>
      <w:r w:rsidR="00E8180A" w:rsidRPr="002E5485">
        <w:rPr>
          <w:rFonts w:ascii="Gellix" w:hAnsi="Gellix"/>
          <w:b/>
          <w:bCs/>
        </w:rPr>
        <w:t>SMALL-SCALE PARTNERSHIPS IN THE FIELD OF YOUTH</w:t>
      </w:r>
      <w:r w:rsidR="00C525CF" w:rsidRPr="002E5485">
        <w:rPr>
          <w:rFonts w:ascii="Gellix" w:hAnsi="Gellix"/>
          <w:b/>
          <w:bCs/>
        </w:rPr>
        <w:br/>
      </w:r>
    </w:p>
    <w:p w14:paraId="7B1E5C62" w14:textId="49FAA030" w:rsidR="00E5524A" w:rsidRPr="002E5485" w:rsidRDefault="00E8180A" w:rsidP="008D481F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Small-scale Partnerships are designed to widen access to the programme to small-scale actors who are hard to reach in the fields of youth.</w:t>
      </w:r>
      <w:r w:rsidR="002E5485">
        <w:rPr>
          <w:rFonts w:ascii="Gellix" w:hAnsi="Gellix"/>
        </w:rPr>
        <w:t xml:space="preserve"> </w:t>
      </w:r>
      <w:r w:rsidRPr="002E5485">
        <w:rPr>
          <w:rFonts w:ascii="Gellix" w:hAnsi="Gellix"/>
        </w:rPr>
        <w:t xml:space="preserve">With </w:t>
      </w:r>
      <w:r w:rsidRPr="002E5485">
        <w:rPr>
          <w:rFonts w:ascii="Gellix" w:hAnsi="Gellix"/>
          <w:b/>
          <w:bCs/>
        </w:rPr>
        <w:t>simpler administrative requirements</w:t>
      </w:r>
      <w:r w:rsidR="0090082F" w:rsidRPr="002E5485">
        <w:rPr>
          <w:rFonts w:ascii="Gellix" w:hAnsi="Gellix"/>
        </w:rPr>
        <w:t xml:space="preserve"> </w:t>
      </w:r>
      <w:r w:rsidRPr="002E5485">
        <w:rPr>
          <w:rFonts w:ascii="Gellix" w:hAnsi="Gellix"/>
        </w:rPr>
        <w:t xml:space="preserve">this action aims at reaching out </w:t>
      </w:r>
      <w:r w:rsidRPr="002E5485">
        <w:rPr>
          <w:rFonts w:ascii="Gellix" w:hAnsi="Gellix"/>
          <w:u w:val="single"/>
        </w:rPr>
        <w:t>less</w:t>
      </w:r>
      <w:r w:rsidR="0090082F" w:rsidRPr="002E5485">
        <w:rPr>
          <w:rFonts w:ascii="Gellix" w:hAnsi="Gellix"/>
          <w:u w:val="single"/>
        </w:rPr>
        <w:t xml:space="preserve"> </w:t>
      </w:r>
      <w:r w:rsidRPr="002E5485">
        <w:rPr>
          <w:rFonts w:ascii="Gellix" w:hAnsi="Gellix"/>
          <w:u w:val="single"/>
        </w:rPr>
        <w:t>experienced organisations and newcomers to the</w:t>
      </w:r>
      <w:r w:rsidR="00C503C1" w:rsidRPr="002E5485">
        <w:rPr>
          <w:rFonts w:ascii="Gellix" w:hAnsi="Gellix"/>
          <w:u w:val="single"/>
        </w:rPr>
        <w:t xml:space="preserve"> Erasmus+</w:t>
      </w:r>
      <w:r w:rsidRPr="002E5485">
        <w:rPr>
          <w:rFonts w:ascii="Gellix" w:hAnsi="Gellix"/>
          <w:u w:val="single"/>
        </w:rPr>
        <w:t xml:space="preserve"> Programme</w:t>
      </w:r>
      <w:r w:rsidR="002E5485">
        <w:rPr>
          <w:rFonts w:ascii="Gellix" w:hAnsi="Gellix"/>
        </w:rPr>
        <w:t>.</w:t>
      </w:r>
    </w:p>
    <w:p w14:paraId="5AB141EA" w14:textId="04B3D4C1" w:rsidR="00E5524A" w:rsidRPr="002E5485" w:rsidRDefault="00E8180A" w:rsidP="008D481F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 xml:space="preserve">This action will also support flexible formats – </w:t>
      </w:r>
      <w:r w:rsidRPr="002E5485">
        <w:rPr>
          <w:rFonts w:ascii="Gellix" w:hAnsi="Gellix"/>
          <w:u w:val="single"/>
        </w:rPr>
        <w:t>mixing activities with transnational and national character</w:t>
      </w:r>
      <w:r w:rsidRPr="002E5485">
        <w:rPr>
          <w:rFonts w:ascii="Gellix" w:hAnsi="Gellix"/>
        </w:rPr>
        <w:t xml:space="preserve"> although with a European dimension – </w:t>
      </w:r>
      <w:r w:rsidRPr="002E5485">
        <w:rPr>
          <w:rFonts w:ascii="Gellix" w:hAnsi="Gellix"/>
          <w:u w:val="single"/>
        </w:rPr>
        <w:t>allowing organisations to have more means to reach out to people with fewer opportunities.</w:t>
      </w:r>
      <w:r w:rsidRPr="002E5485">
        <w:rPr>
          <w:rFonts w:ascii="Gellix" w:hAnsi="Gellix"/>
        </w:rPr>
        <w:t xml:space="preserve"> </w:t>
      </w:r>
    </w:p>
    <w:p w14:paraId="07DF21CA" w14:textId="181E2929" w:rsidR="001729BE" w:rsidRPr="002E5485" w:rsidRDefault="00E5524A" w:rsidP="00C00F43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br/>
      </w:r>
      <w:r w:rsidR="001729BE" w:rsidRPr="002E5485">
        <w:rPr>
          <w:rFonts w:ascii="Gellix" w:hAnsi="Gellix"/>
        </w:rPr>
        <w:br/>
      </w:r>
      <w:r w:rsidR="001729BE" w:rsidRPr="002E5485">
        <w:rPr>
          <w:rFonts w:ascii="Gellix" w:hAnsi="Gellix"/>
          <w:b/>
          <w:bCs/>
        </w:rPr>
        <w:t>I.</w:t>
      </w:r>
      <w:r w:rsidR="001729BE" w:rsidRPr="002E5485">
        <w:rPr>
          <w:rFonts w:ascii="Gellix" w:hAnsi="Gellix"/>
          <w:b/>
          <w:bCs/>
        </w:rPr>
        <w:tab/>
      </w:r>
      <w:r w:rsidR="009A7AA2" w:rsidRPr="002E5485">
        <w:rPr>
          <w:rFonts w:ascii="Gellix" w:hAnsi="Gellix"/>
          <w:b/>
          <w:bCs/>
        </w:rPr>
        <w:t>Scope of the planned project</w:t>
      </w:r>
      <w:r w:rsidR="001729BE" w:rsidRPr="002E5485">
        <w:rPr>
          <w:rFonts w:ascii="Gellix" w:hAnsi="Gellix"/>
          <w:b/>
          <w:bCs/>
        </w:rPr>
        <w:br/>
      </w:r>
      <w:r w:rsidR="001729BE" w:rsidRPr="002E5485">
        <w:rPr>
          <w:rFonts w:ascii="Gellix" w:hAnsi="Gellix"/>
        </w:rPr>
        <w:t>1</w:t>
      </w:r>
      <w:r w:rsidR="008D481F" w:rsidRPr="002E5485">
        <w:rPr>
          <w:rFonts w:ascii="Gellix" w:hAnsi="Gellix"/>
        </w:rPr>
        <w:t>.</w:t>
      </w:r>
      <w:r w:rsidR="008D481F" w:rsidRPr="002E5485">
        <w:rPr>
          <w:rFonts w:ascii="Gellix" w:hAnsi="Gellix"/>
        </w:rPr>
        <w:tab/>
      </w:r>
      <w:r w:rsidR="008D481F" w:rsidRPr="002E5485">
        <w:rPr>
          <w:rFonts w:ascii="Gellix" w:hAnsi="Gellix"/>
          <w:b/>
          <w:bCs/>
          <w:u w:val="single"/>
        </w:rPr>
        <w:t>e</w:t>
      </w:r>
      <w:r w:rsidR="001729BE" w:rsidRPr="002E5485">
        <w:rPr>
          <w:rFonts w:ascii="Gellix" w:hAnsi="Gellix"/>
          <w:b/>
          <w:bCs/>
          <w:u w:val="single"/>
        </w:rPr>
        <w:t>nvironment and fight against climate change</w:t>
      </w:r>
      <w:r w:rsidR="008D481F" w:rsidRPr="002E5485">
        <w:rPr>
          <w:rFonts w:ascii="Gellix" w:hAnsi="Gellix"/>
          <w:b/>
          <w:bCs/>
          <w:u w:val="single"/>
        </w:rPr>
        <w:t>,</w:t>
      </w:r>
      <w:r w:rsidR="001729BE" w:rsidRPr="002E5485">
        <w:rPr>
          <w:rFonts w:ascii="Gellix" w:hAnsi="Gellix"/>
        </w:rPr>
        <w:br/>
        <w:t>2.</w:t>
      </w:r>
      <w:r w:rsidR="001729BE" w:rsidRPr="002E5485">
        <w:rPr>
          <w:rFonts w:ascii="Gellix" w:hAnsi="Gellix"/>
          <w:b/>
          <w:bCs/>
        </w:rPr>
        <w:tab/>
      </w:r>
      <w:r w:rsidR="008D481F" w:rsidRPr="002E5485">
        <w:rPr>
          <w:rFonts w:ascii="Gellix" w:hAnsi="Gellix"/>
          <w:b/>
          <w:bCs/>
          <w:u w:val="single"/>
        </w:rPr>
        <w:t>i</w:t>
      </w:r>
      <w:r w:rsidR="001729BE" w:rsidRPr="002E5485">
        <w:rPr>
          <w:rFonts w:ascii="Gellix" w:hAnsi="Gellix"/>
          <w:b/>
          <w:bCs/>
          <w:u w:val="single"/>
        </w:rPr>
        <w:t xml:space="preserve">nclusion and </w:t>
      </w:r>
      <w:r w:rsidR="004E226E" w:rsidRPr="002E5485">
        <w:rPr>
          <w:rFonts w:ascii="Gellix" w:hAnsi="Gellix"/>
          <w:b/>
          <w:bCs/>
          <w:u w:val="single"/>
        </w:rPr>
        <w:t>d</w:t>
      </w:r>
      <w:r w:rsidR="001729BE" w:rsidRPr="002E5485">
        <w:rPr>
          <w:rFonts w:ascii="Gellix" w:hAnsi="Gellix"/>
          <w:b/>
          <w:bCs/>
          <w:u w:val="single"/>
        </w:rPr>
        <w:t>iversity</w:t>
      </w:r>
      <w:r w:rsidR="001729BE" w:rsidRPr="002E5485">
        <w:rPr>
          <w:rFonts w:ascii="Gellix" w:hAnsi="Gellix"/>
          <w:b/>
          <w:bCs/>
        </w:rPr>
        <w:t xml:space="preserve"> </w:t>
      </w:r>
      <w:r w:rsidR="001729BE" w:rsidRPr="002E5485">
        <w:rPr>
          <w:rFonts w:ascii="Gellix" w:hAnsi="Gellix"/>
        </w:rPr>
        <w:t>(</w:t>
      </w:r>
      <w:r w:rsidR="004E226E" w:rsidRPr="002E5485">
        <w:rPr>
          <w:rFonts w:ascii="Gellix" w:hAnsi="Gellix"/>
        </w:rPr>
        <w:t>d</w:t>
      </w:r>
      <w:r w:rsidR="001729BE" w:rsidRPr="002E5485">
        <w:rPr>
          <w:rFonts w:ascii="Gellix" w:hAnsi="Gellix"/>
        </w:rPr>
        <w:t xml:space="preserve">isabilities, </w:t>
      </w:r>
      <w:r w:rsidR="004E226E" w:rsidRPr="002E5485">
        <w:rPr>
          <w:rFonts w:ascii="Gellix" w:hAnsi="Gellix"/>
        </w:rPr>
        <w:t>h</w:t>
      </w:r>
      <w:r w:rsidR="001729BE" w:rsidRPr="002E5485">
        <w:rPr>
          <w:rFonts w:ascii="Gellix" w:hAnsi="Gellix"/>
        </w:rPr>
        <w:t xml:space="preserve">ealth problems, </w:t>
      </w:r>
      <w:r w:rsidR="004E226E" w:rsidRPr="002E5485">
        <w:rPr>
          <w:rFonts w:ascii="Gellix" w:hAnsi="Gellix"/>
        </w:rPr>
        <w:t>b</w:t>
      </w:r>
      <w:r w:rsidR="001729BE" w:rsidRPr="002E5485">
        <w:rPr>
          <w:rFonts w:ascii="Gellix" w:hAnsi="Gellix"/>
        </w:rPr>
        <w:t>arriers linked to education and</w:t>
      </w:r>
      <w:r w:rsidR="002E5485">
        <w:rPr>
          <w:rFonts w:ascii="Gellix" w:hAnsi="Gellix"/>
        </w:rPr>
        <w:t xml:space="preserve"> t</w:t>
      </w:r>
      <w:r w:rsidR="001729BE" w:rsidRPr="002E5485">
        <w:rPr>
          <w:rFonts w:ascii="Gellix" w:hAnsi="Gellix"/>
        </w:rPr>
        <w:t xml:space="preserve">raining systems, </w:t>
      </w:r>
      <w:r w:rsidR="004E226E" w:rsidRPr="002E5485">
        <w:rPr>
          <w:rFonts w:ascii="Gellix" w:hAnsi="Gellix"/>
        </w:rPr>
        <w:t>c</w:t>
      </w:r>
      <w:r w:rsidR="001729BE" w:rsidRPr="002E5485">
        <w:rPr>
          <w:rFonts w:ascii="Gellix" w:hAnsi="Gellix"/>
        </w:rPr>
        <w:t xml:space="preserve">ultural differences, </w:t>
      </w:r>
      <w:r w:rsidR="004E226E" w:rsidRPr="002E5485">
        <w:rPr>
          <w:rFonts w:ascii="Gellix" w:hAnsi="Gellix"/>
        </w:rPr>
        <w:t>s</w:t>
      </w:r>
      <w:r w:rsidR="001729BE" w:rsidRPr="002E5485">
        <w:rPr>
          <w:rFonts w:ascii="Gellix" w:hAnsi="Gellix"/>
        </w:rPr>
        <w:t xml:space="preserve">ocial barriers, </w:t>
      </w:r>
      <w:r w:rsidR="004E226E" w:rsidRPr="002E5485">
        <w:rPr>
          <w:rFonts w:ascii="Gellix" w:hAnsi="Gellix"/>
        </w:rPr>
        <w:t>e</w:t>
      </w:r>
      <w:r w:rsidR="001729BE" w:rsidRPr="002E5485">
        <w:rPr>
          <w:rFonts w:ascii="Gellix" w:hAnsi="Gellix"/>
        </w:rPr>
        <w:t xml:space="preserve">conomic barriers, </w:t>
      </w:r>
      <w:r w:rsidR="004E226E" w:rsidRPr="002E5485">
        <w:rPr>
          <w:rFonts w:ascii="Gellix" w:hAnsi="Gellix"/>
        </w:rPr>
        <w:t>b</w:t>
      </w:r>
      <w:r w:rsidR="001729BE" w:rsidRPr="002E5485">
        <w:rPr>
          <w:rFonts w:ascii="Gellix" w:hAnsi="Gellix"/>
        </w:rPr>
        <w:t xml:space="preserve">arriers linked to discrimination, </w:t>
      </w:r>
      <w:r w:rsidR="004E226E" w:rsidRPr="002E5485">
        <w:rPr>
          <w:rFonts w:ascii="Gellix" w:hAnsi="Gellix"/>
        </w:rPr>
        <w:t>g</w:t>
      </w:r>
      <w:r w:rsidR="001729BE" w:rsidRPr="002E5485">
        <w:rPr>
          <w:rFonts w:ascii="Gellix" w:hAnsi="Gellix"/>
        </w:rPr>
        <w:t>eographical barriers)</w:t>
      </w:r>
      <w:r w:rsidR="002E5485">
        <w:rPr>
          <w:rFonts w:ascii="Gellix" w:hAnsi="Gellix"/>
        </w:rPr>
        <w:t xml:space="preserve"> </w:t>
      </w:r>
      <w:r w:rsidR="008D481F" w:rsidRPr="002E5485">
        <w:rPr>
          <w:rFonts w:ascii="Gellix" w:hAnsi="Gellix"/>
        </w:rPr>
        <w:t>in Partners activities.</w:t>
      </w:r>
      <w:r w:rsidR="008D481F" w:rsidRPr="002E5485">
        <w:rPr>
          <w:rFonts w:ascii="Gellix" w:hAnsi="Gellix"/>
        </w:rPr>
        <w:br/>
      </w:r>
    </w:p>
    <w:p w14:paraId="39785FBC" w14:textId="61A64A79" w:rsidR="00414B3B" w:rsidRPr="002E5485" w:rsidRDefault="00385586" w:rsidP="008D481F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  <w:b/>
          <w:bCs/>
        </w:rPr>
        <w:t xml:space="preserve">II. </w:t>
      </w:r>
      <w:r w:rsidRPr="002E5485">
        <w:rPr>
          <w:rFonts w:ascii="Gellix" w:hAnsi="Gellix"/>
          <w:b/>
          <w:bCs/>
        </w:rPr>
        <w:tab/>
      </w:r>
      <w:r w:rsidR="009A7AA2" w:rsidRPr="002E5485">
        <w:rPr>
          <w:rFonts w:ascii="Gellix" w:hAnsi="Gellix"/>
          <w:b/>
          <w:bCs/>
        </w:rPr>
        <w:t xml:space="preserve">Consortium </w:t>
      </w:r>
      <w:r w:rsidR="00C00F43" w:rsidRPr="002E5485">
        <w:rPr>
          <w:rFonts w:ascii="Gellix" w:hAnsi="Gellix"/>
          <w:b/>
          <w:bCs/>
        </w:rPr>
        <w:t>(two partners needed)</w:t>
      </w:r>
      <w:r w:rsidR="00E8180A" w:rsidRPr="002E5485">
        <w:rPr>
          <w:rFonts w:ascii="Gellix" w:hAnsi="Gellix"/>
        </w:rPr>
        <w:br/>
      </w:r>
      <w:r w:rsidR="004E226E" w:rsidRPr="002E5485">
        <w:rPr>
          <w:rFonts w:ascii="Gellix" w:hAnsi="Gellix"/>
        </w:rPr>
        <w:t>1.</w:t>
      </w:r>
      <w:r w:rsidR="004E226E" w:rsidRPr="002E5485">
        <w:rPr>
          <w:rFonts w:ascii="Gellix" w:hAnsi="Gellix"/>
        </w:rPr>
        <w:tab/>
      </w:r>
      <w:r w:rsidR="00F24E4E" w:rsidRPr="002E5485">
        <w:rPr>
          <w:rFonts w:ascii="Gellix" w:hAnsi="Gellix"/>
        </w:rPr>
        <w:t>Lead Partner</w:t>
      </w:r>
      <w:r w:rsidR="0090082F" w:rsidRPr="002E5485">
        <w:rPr>
          <w:rFonts w:ascii="Gellix" w:hAnsi="Gellix"/>
        </w:rPr>
        <w:t xml:space="preserve"> (applicant)</w:t>
      </w:r>
      <w:r w:rsidR="00F24E4E" w:rsidRPr="002E5485">
        <w:rPr>
          <w:rFonts w:ascii="Gellix" w:hAnsi="Gellix"/>
        </w:rPr>
        <w:t xml:space="preserve"> </w:t>
      </w:r>
      <w:r w:rsidR="0090082F" w:rsidRPr="002E5485">
        <w:rPr>
          <w:rFonts w:ascii="Gellix" w:hAnsi="Gellix"/>
        </w:rPr>
        <w:t>-</w:t>
      </w:r>
      <w:r w:rsidR="00F24E4E" w:rsidRPr="002E5485">
        <w:rPr>
          <w:rFonts w:ascii="Gellix" w:hAnsi="Gellix"/>
        </w:rPr>
        <w:t xml:space="preserve"> Experyment Science Centre</w:t>
      </w:r>
      <w:r w:rsidR="0090082F" w:rsidRPr="002E5485">
        <w:rPr>
          <w:rFonts w:ascii="Gellix" w:hAnsi="Gellix"/>
        </w:rPr>
        <w:t xml:space="preserve"> in Gdynia (Poland)</w:t>
      </w:r>
    </w:p>
    <w:p w14:paraId="4F3CBE91" w14:textId="626C5AF5" w:rsidR="00F24E4E" w:rsidRPr="002E5485" w:rsidRDefault="004E226E" w:rsidP="008D481F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2.</w:t>
      </w:r>
      <w:r w:rsidRPr="002E5485">
        <w:rPr>
          <w:rFonts w:ascii="Gellix" w:hAnsi="Gellix"/>
        </w:rPr>
        <w:tab/>
      </w:r>
      <w:r w:rsidR="00F24E4E" w:rsidRPr="002E5485">
        <w:rPr>
          <w:rFonts w:ascii="Gellix" w:hAnsi="Gellix"/>
        </w:rPr>
        <w:t>Partner 1</w:t>
      </w:r>
      <w:r w:rsidR="00E5524A" w:rsidRPr="002E5485">
        <w:rPr>
          <w:rFonts w:ascii="Gellix" w:hAnsi="Gellix"/>
        </w:rPr>
        <w:t xml:space="preserve"> </w:t>
      </w:r>
    </w:p>
    <w:p w14:paraId="09CC6372" w14:textId="3AC942ED" w:rsidR="00B30F99" w:rsidRPr="002E5485" w:rsidRDefault="004E226E" w:rsidP="008D481F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3.</w:t>
      </w:r>
      <w:r w:rsidRPr="002E5485">
        <w:rPr>
          <w:rFonts w:ascii="Gellix" w:hAnsi="Gellix"/>
        </w:rPr>
        <w:tab/>
      </w:r>
      <w:r w:rsidR="00F24E4E" w:rsidRPr="002E5485">
        <w:rPr>
          <w:rFonts w:ascii="Gellix" w:hAnsi="Gellix"/>
        </w:rPr>
        <w:t>Partner 2</w:t>
      </w:r>
      <w:r w:rsidR="00C525CF" w:rsidRPr="002E5485">
        <w:rPr>
          <w:rFonts w:ascii="Gellix" w:hAnsi="Gellix"/>
        </w:rPr>
        <w:t xml:space="preserve"> </w:t>
      </w:r>
      <w:r w:rsidR="00F24E4E" w:rsidRPr="002E5485">
        <w:rPr>
          <w:rFonts w:ascii="Gellix" w:hAnsi="Gellix"/>
        </w:rPr>
        <w:br/>
      </w:r>
      <w:r w:rsidR="00F24E4E" w:rsidRPr="002E5485">
        <w:rPr>
          <w:rFonts w:ascii="Gellix" w:hAnsi="Gellix"/>
        </w:rPr>
        <w:br/>
      </w:r>
      <w:r w:rsidR="00577C2A" w:rsidRPr="002E5485">
        <w:rPr>
          <w:rFonts w:ascii="Gellix" w:hAnsi="Gellix"/>
          <w:b/>
          <w:bCs/>
        </w:rPr>
        <w:t>I</w:t>
      </w:r>
      <w:r w:rsidR="00385586" w:rsidRPr="002E5485">
        <w:rPr>
          <w:rFonts w:ascii="Gellix" w:hAnsi="Gellix"/>
          <w:b/>
          <w:bCs/>
        </w:rPr>
        <w:t>II</w:t>
      </w:r>
      <w:r w:rsidR="00B30F99" w:rsidRPr="002E5485">
        <w:rPr>
          <w:rFonts w:ascii="Gellix" w:hAnsi="Gellix"/>
          <w:b/>
          <w:bCs/>
        </w:rPr>
        <w:t xml:space="preserve">. </w:t>
      </w:r>
      <w:r w:rsidR="00577C2A" w:rsidRPr="002E5485">
        <w:rPr>
          <w:rFonts w:ascii="Gellix" w:hAnsi="Gellix"/>
          <w:b/>
          <w:bCs/>
        </w:rPr>
        <w:tab/>
      </w:r>
      <w:r w:rsidR="009336F2" w:rsidRPr="002E5485">
        <w:rPr>
          <w:rFonts w:ascii="Gellix" w:hAnsi="Gellix"/>
          <w:b/>
          <w:bCs/>
        </w:rPr>
        <w:t>P</w:t>
      </w:r>
      <w:r w:rsidR="00B30F99" w:rsidRPr="002E5485">
        <w:rPr>
          <w:rFonts w:ascii="Gellix" w:hAnsi="Gellix"/>
          <w:b/>
          <w:bCs/>
        </w:rPr>
        <w:t>riorities addressed</w:t>
      </w:r>
      <w:r w:rsidR="00F9317C" w:rsidRPr="002E5485">
        <w:rPr>
          <w:rFonts w:ascii="Gellix" w:hAnsi="Gellix"/>
          <w:b/>
          <w:bCs/>
        </w:rPr>
        <w:t xml:space="preserve"> </w:t>
      </w:r>
      <w:r w:rsidR="009336F2" w:rsidRPr="002E5485">
        <w:rPr>
          <w:rFonts w:ascii="Gellix" w:hAnsi="Gellix"/>
          <w:b/>
          <w:bCs/>
        </w:rPr>
        <w:br/>
      </w:r>
      <w:r w:rsidR="009336F2" w:rsidRPr="002E5485">
        <w:rPr>
          <w:rFonts w:ascii="Gellix" w:hAnsi="Gellix"/>
        </w:rPr>
        <w:t>Horizontal priorities:</w:t>
      </w:r>
    </w:p>
    <w:p w14:paraId="2BB401B1" w14:textId="581DCB9B" w:rsidR="00B30F99" w:rsidRPr="002E5485" w:rsidRDefault="00B30F99" w:rsidP="008D481F">
      <w:pPr>
        <w:spacing w:after="0" w:line="300" w:lineRule="auto"/>
        <w:ind w:left="705" w:hanging="705"/>
        <w:rPr>
          <w:rFonts w:ascii="Gellix" w:hAnsi="Gellix"/>
          <w:b/>
          <w:bCs/>
        </w:rPr>
      </w:pPr>
      <w:r w:rsidRPr="002E5485">
        <w:rPr>
          <w:rFonts w:ascii="Gellix" w:hAnsi="Gellix"/>
          <w:b/>
          <w:bCs/>
        </w:rPr>
        <w:t>1.</w:t>
      </w:r>
      <w:r w:rsidRPr="002E5485">
        <w:rPr>
          <w:rFonts w:ascii="Gellix" w:hAnsi="Gellix"/>
          <w:b/>
          <w:bCs/>
        </w:rPr>
        <w:tab/>
      </w:r>
      <w:r w:rsidRPr="002E5485">
        <w:rPr>
          <w:rFonts w:ascii="Gellix" w:hAnsi="Gellix"/>
          <w:b/>
          <w:bCs/>
          <w:u w:val="single"/>
        </w:rPr>
        <w:t>Inclusion and Diversity</w:t>
      </w:r>
      <w:r w:rsidR="00577C2A" w:rsidRPr="002E5485">
        <w:rPr>
          <w:rFonts w:ascii="Gellix" w:hAnsi="Gellix"/>
          <w:b/>
          <w:bCs/>
        </w:rPr>
        <w:t xml:space="preserve"> </w:t>
      </w:r>
      <w:r w:rsidR="00577C2A" w:rsidRPr="002E5485">
        <w:rPr>
          <w:rFonts w:ascii="Gellix" w:hAnsi="Gellix"/>
          <w:b/>
          <w:bCs/>
        </w:rPr>
        <w:br/>
      </w:r>
      <w:r w:rsidR="00396F1E" w:rsidRPr="002E5485">
        <w:rPr>
          <w:rFonts w:ascii="Gellix" w:hAnsi="Gellix"/>
        </w:rPr>
        <w:t>Organisations should design accessible and inclusive project activities, taking into account the views of participants with fewer opportunities and involving them in decision making throughout the whole process.</w:t>
      </w:r>
    </w:p>
    <w:p w14:paraId="48E5F399" w14:textId="08F9D40E" w:rsidR="00396F1E" w:rsidRPr="002E5485" w:rsidRDefault="00B30F99" w:rsidP="008D481F">
      <w:pPr>
        <w:spacing w:after="0" w:line="300" w:lineRule="auto"/>
        <w:ind w:left="705" w:hanging="705"/>
        <w:rPr>
          <w:rFonts w:ascii="Gellix" w:hAnsi="Gellix"/>
        </w:rPr>
      </w:pPr>
      <w:r w:rsidRPr="002E5485">
        <w:rPr>
          <w:rFonts w:ascii="Gellix" w:hAnsi="Gellix"/>
          <w:b/>
          <w:bCs/>
        </w:rPr>
        <w:t>2.</w:t>
      </w:r>
      <w:r w:rsidRPr="002E5485">
        <w:rPr>
          <w:rFonts w:ascii="Gellix" w:hAnsi="Gellix"/>
          <w:b/>
          <w:bCs/>
        </w:rPr>
        <w:tab/>
      </w:r>
      <w:r w:rsidRPr="006F1E3D">
        <w:rPr>
          <w:rFonts w:ascii="Gellix" w:hAnsi="Gellix"/>
          <w:b/>
          <w:bCs/>
          <w:u w:val="single"/>
        </w:rPr>
        <w:t>Digital Transformation</w:t>
      </w:r>
      <w:r w:rsidR="00396F1E" w:rsidRPr="002E5485">
        <w:rPr>
          <w:rFonts w:ascii="Gellix" w:hAnsi="Gellix"/>
          <w:b/>
          <w:bCs/>
        </w:rPr>
        <w:br/>
      </w:r>
      <w:r w:rsidR="00396F1E" w:rsidRPr="002E5485">
        <w:rPr>
          <w:rFonts w:ascii="Gellix" w:hAnsi="Gellix"/>
        </w:rPr>
        <w:t xml:space="preserve">Virtual cooperation and experimentation with virtual and blended learning opportunities are key to successful Small-scale Partnerships. </w:t>
      </w:r>
    </w:p>
    <w:p w14:paraId="430872E4" w14:textId="3AC777A6" w:rsidR="00B30F99" w:rsidRPr="002E5485" w:rsidRDefault="00B30F99" w:rsidP="008D481F">
      <w:pPr>
        <w:spacing w:after="0" w:line="300" w:lineRule="auto"/>
        <w:rPr>
          <w:rFonts w:ascii="Gellix" w:hAnsi="Gellix"/>
          <w:b/>
          <w:bCs/>
          <w:u w:val="single"/>
        </w:rPr>
      </w:pPr>
      <w:r w:rsidRPr="002E5485">
        <w:rPr>
          <w:rFonts w:ascii="Gellix" w:hAnsi="Gellix"/>
          <w:b/>
          <w:bCs/>
        </w:rPr>
        <w:t>3.</w:t>
      </w:r>
      <w:r w:rsidRPr="002E5485">
        <w:rPr>
          <w:rFonts w:ascii="Gellix" w:hAnsi="Gellix"/>
          <w:b/>
          <w:bCs/>
        </w:rPr>
        <w:tab/>
      </w:r>
      <w:r w:rsidRPr="002E5485">
        <w:rPr>
          <w:rFonts w:ascii="Gellix" w:hAnsi="Gellix"/>
          <w:b/>
          <w:bCs/>
          <w:u w:val="single"/>
        </w:rPr>
        <w:t>Environment and fight against climate change</w:t>
      </w:r>
    </w:p>
    <w:p w14:paraId="7E08A769" w14:textId="77777777" w:rsidR="008D481F" w:rsidRPr="002E5485" w:rsidRDefault="00396F1E" w:rsidP="008D481F">
      <w:pPr>
        <w:spacing w:after="0" w:line="300" w:lineRule="auto"/>
        <w:ind w:left="705"/>
        <w:rPr>
          <w:rFonts w:ascii="Gellix" w:hAnsi="Gellix"/>
        </w:rPr>
      </w:pPr>
      <w:r w:rsidRPr="002E5485">
        <w:rPr>
          <w:rFonts w:ascii="Gellix" w:hAnsi="Gellix"/>
        </w:rPr>
        <w:t>Projects should be designed in an eco-friendly way and should incorporate green practices in all its facets.</w:t>
      </w:r>
    </w:p>
    <w:p w14:paraId="5D6284CD" w14:textId="3777A5FC" w:rsidR="004E226E" w:rsidRPr="00CD4221" w:rsidRDefault="00B30F99" w:rsidP="008D481F">
      <w:pPr>
        <w:spacing w:after="0" w:line="300" w:lineRule="auto"/>
        <w:rPr>
          <w:rFonts w:ascii="Gellix" w:hAnsi="Gellix"/>
        </w:rPr>
      </w:pPr>
      <w:r w:rsidRPr="00CD4221">
        <w:rPr>
          <w:rFonts w:ascii="Gellix" w:hAnsi="Gellix"/>
        </w:rPr>
        <w:t xml:space="preserve">Specific priorities for the </w:t>
      </w:r>
      <w:r w:rsidR="00577C2A" w:rsidRPr="00CD4221">
        <w:rPr>
          <w:rFonts w:ascii="Gellix" w:hAnsi="Gellix"/>
        </w:rPr>
        <w:t xml:space="preserve">field of </w:t>
      </w:r>
      <w:r w:rsidRPr="00CD4221">
        <w:rPr>
          <w:rFonts w:ascii="Gellix" w:hAnsi="Gellix"/>
        </w:rPr>
        <w:t>youth</w:t>
      </w:r>
      <w:r w:rsidR="00F9317C" w:rsidRPr="00CD4221">
        <w:rPr>
          <w:rFonts w:ascii="Gellix" w:hAnsi="Gellix"/>
        </w:rPr>
        <w:t xml:space="preserve"> </w:t>
      </w:r>
    </w:p>
    <w:p w14:paraId="27C9C648" w14:textId="02C87DEB" w:rsidR="00D60F81" w:rsidRPr="00D60F81" w:rsidRDefault="00B30F99" w:rsidP="00D60F81">
      <w:pPr>
        <w:pStyle w:val="Akapitzlist"/>
        <w:numPr>
          <w:ilvl w:val="0"/>
          <w:numId w:val="6"/>
        </w:numPr>
        <w:spacing w:after="0" w:line="300" w:lineRule="auto"/>
        <w:rPr>
          <w:rFonts w:ascii="Gellix" w:hAnsi="Gellix"/>
        </w:rPr>
      </w:pPr>
      <w:r w:rsidRPr="00D60F81">
        <w:rPr>
          <w:rFonts w:ascii="Gellix" w:hAnsi="Gellix"/>
          <w:u w:val="single"/>
        </w:rPr>
        <w:t>Promoting active citizenship, young people’s sense of initiative</w:t>
      </w:r>
      <w:r w:rsidRPr="00D60F81">
        <w:rPr>
          <w:rFonts w:ascii="Gellix" w:hAnsi="Gellix"/>
        </w:rPr>
        <w:t xml:space="preserve"> and youth entrepreneurship including social entrepreneurship: The priority aims to foster active citizenship among young people</w:t>
      </w:r>
      <w:r w:rsidR="00D60F81" w:rsidRPr="00D60F81">
        <w:rPr>
          <w:rFonts w:ascii="Gellix" w:hAnsi="Gellix"/>
        </w:rPr>
        <w:t>.</w:t>
      </w:r>
    </w:p>
    <w:p w14:paraId="22666958" w14:textId="643030B7" w:rsidR="004E226E" w:rsidRPr="00D60F81" w:rsidRDefault="00B30F99" w:rsidP="00D60F81">
      <w:pPr>
        <w:pStyle w:val="Akapitzlist"/>
        <w:spacing w:after="0" w:line="300" w:lineRule="auto"/>
        <w:ind w:left="1065"/>
        <w:rPr>
          <w:rFonts w:ascii="Gellix" w:hAnsi="Gellix"/>
        </w:rPr>
      </w:pPr>
      <w:r w:rsidRPr="00D60F81">
        <w:rPr>
          <w:rFonts w:ascii="Gellix" w:hAnsi="Gellix"/>
        </w:rPr>
        <w:t xml:space="preserve"> </w:t>
      </w:r>
    </w:p>
    <w:p w14:paraId="5109C74A" w14:textId="77777777" w:rsidR="002E5485" w:rsidRPr="002E5485" w:rsidRDefault="002E5485" w:rsidP="00C503C1">
      <w:pPr>
        <w:spacing w:after="0" w:line="300" w:lineRule="auto"/>
        <w:ind w:left="705" w:hanging="705"/>
        <w:rPr>
          <w:rFonts w:ascii="Gellix" w:hAnsi="Gellix"/>
        </w:rPr>
      </w:pPr>
    </w:p>
    <w:p w14:paraId="42E7EF46" w14:textId="4D1E2B25" w:rsidR="004E226E" w:rsidRPr="002E5485" w:rsidRDefault="00B30F99" w:rsidP="00133EF6">
      <w:pPr>
        <w:spacing w:after="0" w:line="300" w:lineRule="auto"/>
        <w:ind w:left="705" w:hanging="705"/>
        <w:rPr>
          <w:rFonts w:ascii="Gellix" w:hAnsi="Gellix"/>
        </w:rPr>
      </w:pPr>
      <w:r w:rsidRPr="002E5485">
        <w:rPr>
          <w:rFonts w:ascii="Gellix" w:hAnsi="Gellix"/>
        </w:rPr>
        <w:lastRenderedPageBreak/>
        <w:t>2.</w:t>
      </w:r>
      <w:r w:rsidRPr="002E5485">
        <w:rPr>
          <w:rFonts w:ascii="Gellix" w:hAnsi="Gellix"/>
        </w:rPr>
        <w:tab/>
      </w:r>
      <w:r w:rsidRPr="002E5485">
        <w:rPr>
          <w:rFonts w:ascii="Gellix" w:hAnsi="Gellix"/>
          <w:u w:val="single"/>
        </w:rPr>
        <w:t>Increasing quality, innovation and recognition of youth work</w:t>
      </w:r>
      <w:r w:rsidRPr="002E5485">
        <w:rPr>
          <w:rFonts w:ascii="Gellix" w:hAnsi="Gellix"/>
        </w:rPr>
        <w:t>: The priority aims to promote the recognition and validation of youth work and informal and non-formal learning on all levels, and support quality development and innovation in youth work</w:t>
      </w:r>
      <w:r w:rsidR="00D60F81">
        <w:rPr>
          <w:rFonts w:ascii="Gellix" w:hAnsi="Gellix"/>
        </w:rPr>
        <w:t>.</w:t>
      </w:r>
    </w:p>
    <w:p w14:paraId="4A039BD4" w14:textId="3D795801" w:rsidR="00133EF6" w:rsidRPr="002E5485" w:rsidRDefault="00133EF6" w:rsidP="008D481F">
      <w:pPr>
        <w:spacing w:after="0" w:line="300" w:lineRule="auto"/>
        <w:rPr>
          <w:rFonts w:ascii="Gellix" w:hAnsi="Gellix"/>
        </w:rPr>
      </w:pPr>
    </w:p>
    <w:p w14:paraId="5B6848B5" w14:textId="1CD3D91D" w:rsidR="00133EF6" w:rsidRPr="002E5485" w:rsidRDefault="00A734D6" w:rsidP="008D481F">
      <w:pPr>
        <w:spacing w:after="0" w:line="300" w:lineRule="auto"/>
        <w:rPr>
          <w:rFonts w:ascii="Gellix" w:hAnsi="Gellix"/>
          <w:b/>
          <w:bCs/>
        </w:rPr>
      </w:pPr>
      <w:r w:rsidRPr="002E5485">
        <w:rPr>
          <w:rFonts w:ascii="Gellix" w:hAnsi="Gellix"/>
          <w:b/>
          <w:bCs/>
        </w:rPr>
        <w:t>I</w:t>
      </w:r>
      <w:r w:rsidR="004E226E" w:rsidRPr="002E5485">
        <w:rPr>
          <w:rFonts w:ascii="Gellix" w:hAnsi="Gellix"/>
          <w:b/>
          <w:bCs/>
        </w:rPr>
        <w:t>V</w:t>
      </w:r>
      <w:r w:rsidRPr="002E5485">
        <w:rPr>
          <w:rFonts w:ascii="Gellix" w:hAnsi="Gellix"/>
          <w:b/>
          <w:bCs/>
        </w:rPr>
        <w:t>.</w:t>
      </w:r>
      <w:r w:rsidRPr="002E5485">
        <w:rPr>
          <w:rFonts w:ascii="Gellix" w:hAnsi="Gellix"/>
          <w:b/>
          <w:bCs/>
        </w:rPr>
        <w:tab/>
        <w:t>Planned a</w:t>
      </w:r>
      <w:r w:rsidR="00F24E4E" w:rsidRPr="002E5485">
        <w:rPr>
          <w:rFonts w:ascii="Gellix" w:hAnsi="Gellix"/>
          <w:b/>
          <w:bCs/>
        </w:rPr>
        <w:t>ctivit</w:t>
      </w:r>
      <w:r w:rsidR="009336F2" w:rsidRPr="002E5485">
        <w:rPr>
          <w:rFonts w:ascii="Gellix" w:hAnsi="Gellix"/>
          <w:b/>
          <w:bCs/>
        </w:rPr>
        <w:t>i</w:t>
      </w:r>
      <w:r w:rsidR="00F24E4E" w:rsidRPr="002E5485">
        <w:rPr>
          <w:rFonts w:ascii="Gellix" w:hAnsi="Gellix"/>
          <w:b/>
          <w:bCs/>
        </w:rPr>
        <w:t>es</w:t>
      </w:r>
    </w:p>
    <w:p w14:paraId="00E03084" w14:textId="006DE805" w:rsidR="002A037F" w:rsidRPr="002E5485" w:rsidRDefault="00A734D6" w:rsidP="008D481F">
      <w:pPr>
        <w:spacing w:after="0" w:line="300" w:lineRule="auto"/>
        <w:ind w:left="705" w:hanging="705"/>
        <w:rPr>
          <w:rFonts w:ascii="Gellix" w:hAnsi="Gellix"/>
          <w:b/>
          <w:bCs/>
        </w:rPr>
      </w:pPr>
      <w:r w:rsidRPr="002E5485">
        <w:rPr>
          <w:rFonts w:ascii="Gellix" w:hAnsi="Gellix"/>
          <w:b/>
          <w:bCs/>
        </w:rPr>
        <w:t>1.</w:t>
      </w:r>
      <w:r w:rsidRPr="002E5485">
        <w:rPr>
          <w:rFonts w:ascii="Gellix" w:hAnsi="Gellix"/>
          <w:b/>
          <w:bCs/>
        </w:rPr>
        <w:tab/>
      </w:r>
      <w:bookmarkStart w:id="0" w:name="_Hlk108687973"/>
      <w:r w:rsidR="00FD152C" w:rsidRPr="002E5485">
        <w:rPr>
          <w:rFonts w:ascii="Gellix" w:hAnsi="Gellix"/>
          <w:b/>
          <w:bCs/>
        </w:rPr>
        <w:tab/>
      </w:r>
      <w:r w:rsidR="00F24E4E" w:rsidRPr="002E5485">
        <w:rPr>
          <w:rFonts w:ascii="Gellix" w:hAnsi="Gellix"/>
          <w:b/>
          <w:bCs/>
          <w:u w:val="single"/>
        </w:rPr>
        <w:t xml:space="preserve">Transnational </w:t>
      </w:r>
      <w:r w:rsidR="009336F2" w:rsidRPr="002E5485">
        <w:rPr>
          <w:rFonts w:ascii="Gellix" w:hAnsi="Gellix"/>
          <w:b/>
          <w:bCs/>
          <w:u w:val="single"/>
        </w:rPr>
        <w:t xml:space="preserve">Partner </w:t>
      </w:r>
      <w:r w:rsidR="00F24E4E" w:rsidRPr="002E5485">
        <w:rPr>
          <w:rFonts w:ascii="Gellix" w:hAnsi="Gellix"/>
          <w:b/>
          <w:bCs/>
          <w:u w:val="single"/>
        </w:rPr>
        <w:t>Meetings</w:t>
      </w:r>
      <w:bookmarkEnd w:id="0"/>
      <w:r w:rsidR="00C503C1" w:rsidRPr="002E5485">
        <w:rPr>
          <w:rFonts w:ascii="Gellix" w:hAnsi="Gellix"/>
          <w:b/>
          <w:bCs/>
        </w:rPr>
        <w:t xml:space="preserve"> </w:t>
      </w:r>
      <w:r w:rsidR="009336F2" w:rsidRPr="002E5485">
        <w:rPr>
          <w:rFonts w:ascii="Gellix" w:hAnsi="Gellix"/>
          <w:b/>
          <w:bCs/>
        </w:rPr>
        <w:t>(three meetings</w:t>
      </w:r>
      <w:r w:rsidR="00FD152C" w:rsidRPr="002E5485">
        <w:rPr>
          <w:rFonts w:ascii="Gellix" w:hAnsi="Gellix"/>
          <w:b/>
          <w:bCs/>
        </w:rPr>
        <w:t xml:space="preserve"> - one meeting in the premises of each Partner)</w:t>
      </w:r>
      <w:r w:rsidR="00E5524A" w:rsidRPr="002E5485">
        <w:rPr>
          <w:rFonts w:ascii="Gellix" w:hAnsi="Gellix"/>
          <w:b/>
          <w:bCs/>
        </w:rPr>
        <w:t xml:space="preserve"> aimed at:</w:t>
      </w:r>
    </w:p>
    <w:p w14:paraId="1E76886B" w14:textId="4229B6AD" w:rsidR="002A037F" w:rsidRPr="002E5485" w:rsidRDefault="002E0976" w:rsidP="008D481F">
      <w:pPr>
        <w:pStyle w:val="Akapitzlist"/>
        <w:numPr>
          <w:ilvl w:val="0"/>
          <w:numId w:val="2"/>
        </w:num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i</w:t>
      </w:r>
      <w:r w:rsidR="002A037F" w:rsidRPr="002E5485">
        <w:rPr>
          <w:rFonts w:ascii="Gellix" w:hAnsi="Gellix"/>
        </w:rPr>
        <w:t>ncreasing quality in the work and practices of the organisations and institutions involved,</w:t>
      </w:r>
    </w:p>
    <w:p w14:paraId="4CEE3354" w14:textId="3BB9E714" w:rsidR="002A037F" w:rsidRPr="002E5485" w:rsidRDefault="002E0976" w:rsidP="008D481F">
      <w:pPr>
        <w:pStyle w:val="Akapitzlist"/>
        <w:numPr>
          <w:ilvl w:val="0"/>
          <w:numId w:val="2"/>
        </w:num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b</w:t>
      </w:r>
      <w:r w:rsidR="002A037F" w:rsidRPr="002E5485">
        <w:rPr>
          <w:rFonts w:ascii="Gellix" w:hAnsi="Gellix"/>
        </w:rPr>
        <w:t>uilding capacity of organisations to work transnationally and across sectors;</w:t>
      </w:r>
    </w:p>
    <w:p w14:paraId="69340AAF" w14:textId="3493AAEE" w:rsidR="002A037F" w:rsidRPr="002E5485" w:rsidRDefault="002E0976" w:rsidP="008D481F">
      <w:pPr>
        <w:pStyle w:val="Akapitzlist"/>
        <w:numPr>
          <w:ilvl w:val="0"/>
          <w:numId w:val="2"/>
        </w:num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a</w:t>
      </w:r>
      <w:r w:rsidR="002A037F" w:rsidRPr="002E5485">
        <w:rPr>
          <w:rFonts w:ascii="Gellix" w:hAnsi="Gellix"/>
        </w:rPr>
        <w:t>ddressing common needs and priorities in the fields of youth;</w:t>
      </w:r>
    </w:p>
    <w:p w14:paraId="628D8B8B" w14:textId="233D2244" w:rsidR="00133EF6" w:rsidRPr="002E5485" w:rsidRDefault="002E0976" w:rsidP="00C503C1">
      <w:pPr>
        <w:pStyle w:val="Akapitzlist"/>
        <w:numPr>
          <w:ilvl w:val="0"/>
          <w:numId w:val="2"/>
        </w:num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e</w:t>
      </w:r>
      <w:r w:rsidR="002A037F" w:rsidRPr="002E5485">
        <w:rPr>
          <w:rFonts w:ascii="Gellix" w:hAnsi="Gellix"/>
        </w:rPr>
        <w:t>nabling transformation and change (at individual, organisational or sectoral level), leading to improvements, in proportion to the context of each organisation;</w:t>
      </w:r>
    </w:p>
    <w:p w14:paraId="7B58630A" w14:textId="48549BA4" w:rsidR="00D80B5B" w:rsidRPr="002E5485" w:rsidRDefault="00D80B5B" w:rsidP="00C503C1">
      <w:pPr>
        <w:pStyle w:val="Akapitzlist"/>
        <w:numPr>
          <w:ilvl w:val="0"/>
          <w:numId w:val="2"/>
        </w:num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sharing project results and deliverables (publications, materials, documents, tools etc.);</w:t>
      </w:r>
    </w:p>
    <w:p w14:paraId="7FFF0528" w14:textId="264ED04B" w:rsidR="00D80B5B" w:rsidRPr="002E5485" w:rsidRDefault="00D80B5B" w:rsidP="00D80B5B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  <w:b/>
          <w:bCs/>
        </w:rPr>
        <w:t>consisted of:</w:t>
      </w:r>
      <w:r w:rsidRPr="002E5485">
        <w:rPr>
          <w:rFonts w:ascii="Gellix" w:hAnsi="Gellix"/>
        </w:rPr>
        <w:br/>
        <w:t>Learning activities, teaching and training activities, events</w:t>
      </w:r>
      <w:r w:rsidR="002E5485" w:rsidRPr="002E5485">
        <w:rPr>
          <w:rFonts w:ascii="Gellix" w:hAnsi="Gellix"/>
        </w:rPr>
        <w:t>.</w:t>
      </w:r>
    </w:p>
    <w:p w14:paraId="77BA7F09" w14:textId="77777777" w:rsidR="00CD4221" w:rsidRDefault="00CD4221" w:rsidP="008D481F">
      <w:pPr>
        <w:spacing w:after="0" w:line="300" w:lineRule="auto"/>
        <w:ind w:left="705" w:hanging="705"/>
        <w:rPr>
          <w:rFonts w:ascii="Gellix" w:hAnsi="Gellix"/>
          <w:b/>
          <w:bCs/>
        </w:rPr>
      </w:pPr>
    </w:p>
    <w:p w14:paraId="5BFC9ABA" w14:textId="38999A20" w:rsidR="00FC66A9" w:rsidRPr="002E5485" w:rsidRDefault="00A734D6" w:rsidP="008D481F">
      <w:pPr>
        <w:spacing w:after="0" w:line="300" w:lineRule="auto"/>
        <w:ind w:left="705" w:hanging="705"/>
        <w:rPr>
          <w:rFonts w:ascii="Gellix" w:hAnsi="Gellix"/>
        </w:rPr>
      </w:pPr>
      <w:r w:rsidRPr="002E5485">
        <w:rPr>
          <w:rFonts w:ascii="Gellix" w:hAnsi="Gellix"/>
          <w:b/>
          <w:bCs/>
        </w:rPr>
        <w:t>2.</w:t>
      </w:r>
      <w:r w:rsidRPr="002E5485">
        <w:rPr>
          <w:rFonts w:ascii="Gellix" w:hAnsi="Gellix"/>
          <w:b/>
          <w:bCs/>
        </w:rPr>
        <w:tab/>
      </w:r>
      <w:r w:rsidRPr="002E5485">
        <w:rPr>
          <w:rFonts w:ascii="Gellix" w:hAnsi="Gellix"/>
          <w:b/>
          <w:bCs/>
        </w:rPr>
        <w:tab/>
      </w:r>
      <w:r w:rsidR="00F24E4E" w:rsidRPr="002E5485">
        <w:rPr>
          <w:rFonts w:ascii="Gellix" w:hAnsi="Gellix"/>
          <w:b/>
          <w:bCs/>
          <w:u w:val="single"/>
        </w:rPr>
        <w:t xml:space="preserve">Local Activities for </w:t>
      </w:r>
      <w:r w:rsidR="00870358" w:rsidRPr="002E5485">
        <w:rPr>
          <w:rFonts w:ascii="Gellix" w:hAnsi="Gellix"/>
          <w:b/>
          <w:bCs/>
          <w:u w:val="single"/>
        </w:rPr>
        <w:t>y</w:t>
      </w:r>
      <w:r w:rsidR="001729BE" w:rsidRPr="002E5485">
        <w:rPr>
          <w:rFonts w:ascii="Gellix" w:hAnsi="Gellix"/>
          <w:b/>
          <w:bCs/>
          <w:u w:val="single"/>
        </w:rPr>
        <w:t>outh</w:t>
      </w:r>
      <w:r w:rsidR="00870358" w:rsidRPr="002E5485">
        <w:rPr>
          <w:rFonts w:ascii="Gellix" w:hAnsi="Gellix"/>
          <w:b/>
          <w:bCs/>
          <w:u w:val="single"/>
        </w:rPr>
        <w:t xml:space="preserve"> with fewer opportunities</w:t>
      </w:r>
      <w:r w:rsidR="00870358" w:rsidRPr="002E5485">
        <w:rPr>
          <w:rFonts w:ascii="Gellix" w:hAnsi="Gellix"/>
        </w:rPr>
        <w:t xml:space="preserve"> (e.g. linked to education and training</w:t>
      </w:r>
    </w:p>
    <w:p w14:paraId="3C37AA02" w14:textId="4A3B3211" w:rsidR="00F24E4E" w:rsidRPr="002E5485" w:rsidRDefault="00870358" w:rsidP="008D481F">
      <w:pPr>
        <w:spacing w:after="0" w:line="300" w:lineRule="auto"/>
        <w:ind w:left="705" w:hanging="705"/>
        <w:rPr>
          <w:rFonts w:ascii="Gellix" w:hAnsi="Gellix"/>
        </w:rPr>
      </w:pPr>
      <w:r w:rsidRPr="002E5485">
        <w:rPr>
          <w:rFonts w:ascii="Gellix" w:hAnsi="Gellix"/>
        </w:rPr>
        <w:t>systems)</w:t>
      </w:r>
      <w:r w:rsidR="009336F2" w:rsidRPr="002E5485">
        <w:rPr>
          <w:rFonts w:ascii="Gellix" w:hAnsi="Gellix"/>
        </w:rPr>
        <w:t xml:space="preserve"> after each Transnational Partner Meeting</w:t>
      </w:r>
      <w:r w:rsidR="00E5524A" w:rsidRPr="002E5485">
        <w:rPr>
          <w:rFonts w:ascii="Gellix" w:hAnsi="Gellix"/>
        </w:rPr>
        <w:t xml:space="preserve"> aimed at:</w:t>
      </w:r>
    </w:p>
    <w:p w14:paraId="7D4E685E" w14:textId="45544A02" w:rsidR="00B30F99" w:rsidRPr="002E5485" w:rsidRDefault="002E0976" w:rsidP="008D481F">
      <w:pPr>
        <w:pStyle w:val="Akapitzlist"/>
        <w:numPr>
          <w:ilvl w:val="0"/>
          <w:numId w:val="4"/>
        </w:num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s</w:t>
      </w:r>
      <w:r w:rsidR="00B30F99" w:rsidRPr="002E5485">
        <w:rPr>
          <w:rFonts w:ascii="Gellix" w:hAnsi="Gellix"/>
        </w:rPr>
        <w:t>upport the inclusion of target groups with fewer opportunities.</w:t>
      </w:r>
    </w:p>
    <w:p w14:paraId="6CE257F6" w14:textId="406B3730" w:rsidR="00AC1502" w:rsidRPr="002E5485" w:rsidRDefault="002E0976" w:rsidP="004E226E">
      <w:pPr>
        <w:pStyle w:val="Akapitzlist"/>
        <w:numPr>
          <w:ilvl w:val="0"/>
          <w:numId w:val="4"/>
        </w:num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s</w:t>
      </w:r>
      <w:r w:rsidR="00B30F99" w:rsidRPr="002E5485">
        <w:rPr>
          <w:rFonts w:ascii="Gellix" w:hAnsi="Gellix"/>
        </w:rPr>
        <w:t>upport active European citizenship and bring the European dimension to the local level</w:t>
      </w:r>
    </w:p>
    <w:p w14:paraId="085571B0" w14:textId="43267454" w:rsidR="00A734D6" w:rsidRPr="002E5485" w:rsidRDefault="00AC1502" w:rsidP="00FC66A9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based on the experiences and conclusions of Transnational Partner Meetings</w:t>
      </w:r>
      <w:r w:rsidR="002E0976" w:rsidRPr="002E5485">
        <w:rPr>
          <w:rFonts w:ascii="Gellix" w:hAnsi="Gellix"/>
        </w:rPr>
        <w:t>.</w:t>
      </w:r>
      <w:r w:rsidR="00A734D6" w:rsidRPr="002E5485">
        <w:rPr>
          <w:rFonts w:ascii="Gellix" w:hAnsi="Gellix"/>
        </w:rPr>
        <w:br/>
      </w:r>
      <w:r w:rsidR="003938DB" w:rsidRPr="002E5485">
        <w:rPr>
          <w:rFonts w:ascii="Gellix" w:hAnsi="Gellix"/>
          <w:b/>
          <w:bCs/>
        </w:rPr>
        <w:t>consisted of:</w:t>
      </w:r>
      <w:r w:rsidR="003938DB" w:rsidRPr="002E5485">
        <w:rPr>
          <w:rFonts w:ascii="Gellix" w:hAnsi="Gellix"/>
        </w:rPr>
        <w:br/>
        <w:t>Learning activities, teaching and training activities, events.</w:t>
      </w:r>
      <w:r w:rsidR="003938DB" w:rsidRPr="002E5485">
        <w:rPr>
          <w:rFonts w:ascii="Gellix" w:hAnsi="Gellix"/>
        </w:rPr>
        <w:br/>
      </w:r>
    </w:p>
    <w:p w14:paraId="35498CB7" w14:textId="696F1AE0" w:rsidR="00785718" w:rsidRDefault="00785718" w:rsidP="00FC66A9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Additionally, project management activities (planning, finances, coordination and communication between partners, monitoring and supervision etc.).</w:t>
      </w:r>
    </w:p>
    <w:p w14:paraId="6666FEDB" w14:textId="77777777" w:rsidR="00D60F81" w:rsidRPr="002E5485" w:rsidRDefault="00D60F81" w:rsidP="00FC66A9">
      <w:pPr>
        <w:spacing w:after="0" w:line="300" w:lineRule="auto"/>
        <w:rPr>
          <w:rFonts w:ascii="Gellix" w:hAnsi="Gellix"/>
        </w:rPr>
      </w:pPr>
    </w:p>
    <w:p w14:paraId="3CCFDB3D" w14:textId="48A86C10" w:rsidR="00A734D6" w:rsidRPr="002E5485" w:rsidRDefault="004E226E" w:rsidP="008D481F">
      <w:pPr>
        <w:spacing w:after="0" w:line="300" w:lineRule="auto"/>
        <w:rPr>
          <w:rFonts w:ascii="Gellix" w:hAnsi="Gellix"/>
          <w:b/>
          <w:bCs/>
        </w:rPr>
      </w:pPr>
      <w:r w:rsidRPr="002E5485">
        <w:rPr>
          <w:rFonts w:ascii="Gellix" w:hAnsi="Gellix"/>
          <w:b/>
          <w:bCs/>
        </w:rPr>
        <w:t>V</w:t>
      </w:r>
      <w:r w:rsidR="0090082F" w:rsidRPr="002E5485">
        <w:rPr>
          <w:rFonts w:ascii="Gellix" w:hAnsi="Gellix"/>
          <w:b/>
          <w:bCs/>
        </w:rPr>
        <w:t>.</w:t>
      </w:r>
      <w:r w:rsidR="0090082F" w:rsidRPr="002E5485">
        <w:rPr>
          <w:rFonts w:ascii="Gellix" w:hAnsi="Gellix"/>
          <w:b/>
          <w:bCs/>
        </w:rPr>
        <w:tab/>
        <w:t>Other information</w:t>
      </w:r>
      <w:r w:rsidR="0090082F" w:rsidRPr="002E5485">
        <w:rPr>
          <w:rFonts w:ascii="Gellix" w:hAnsi="Gellix"/>
          <w:b/>
          <w:bCs/>
        </w:rPr>
        <w:br/>
      </w:r>
      <w:r w:rsidR="00A734D6" w:rsidRPr="002E5485">
        <w:rPr>
          <w:rFonts w:ascii="Gellix" w:hAnsi="Gellix"/>
          <w:b/>
          <w:bCs/>
        </w:rPr>
        <w:t xml:space="preserve">Planned </w:t>
      </w:r>
      <w:r w:rsidR="007044FA" w:rsidRPr="002E5485">
        <w:rPr>
          <w:rFonts w:ascii="Gellix" w:hAnsi="Gellix"/>
          <w:b/>
          <w:bCs/>
        </w:rPr>
        <w:t>d</w:t>
      </w:r>
      <w:r w:rsidR="00A734D6" w:rsidRPr="002E5485">
        <w:rPr>
          <w:rFonts w:ascii="Gellix" w:hAnsi="Gellix"/>
          <w:b/>
          <w:bCs/>
        </w:rPr>
        <w:t xml:space="preserve">uration of </w:t>
      </w:r>
      <w:r w:rsidR="007044FA" w:rsidRPr="002E5485">
        <w:rPr>
          <w:rFonts w:ascii="Gellix" w:hAnsi="Gellix"/>
          <w:b/>
          <w:bCs/>
        </w:rPr>
        <w:t xml:space="preserve">the </w:t>
      </w:r>
      <w:r w:rsidR="00A734D6" w:rsidRPr="002E5485">
        <w:rPr>
          <w:rFonts w:ascii="Gellix" w:hAnsi="Gellix"/>
          <w:b/>
          <w:bCs/>
        </w:rPr>
        <w:t>project</w:t>
      </w:r>
      <w:r w:rsidR="00D60F81">
        <w:rPr>
          <w:rFonts w:ascii="Gellix" w:hAnsi="Gellix"/>
          <w:b/>
          <w:bCs/>
        </w:rPr>
        <w:t>, indicative date of start</w:t>
      </w:r>
    </w:p>
    <w:p w14:paraId="2E731E69" w14:textId="71318AE8" w:rsidR="0090082F" w:rsidRDefault="00A734D6" w:rsidP="00C503C1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  <w:u w:val="single"/>
        </w:rPr>
        <w:t>Between 12 and 24 months.</w:t>
      </w:r>
      <w:r w:rsidR="00D60F81">
        <w:rPr>
          <w:rFonts w:ascii="Gellix" w:hAnsi="Gellix"/>
          <w:u w:val="single"/>
        </w:rPr>
        <w:t xml:space="preserve"> </w:t>
      </w:r>
      <w:r w:rsidRPr="002E5485">
        <w:rPr>
          <w:rFonts w:ascii="Gellix" w:hAnsi="Gellix"/>
        </w:rPr>
        <w:t>The duration has to be chosen at application stage</w:t>
      </w:r>
      <w:r w:rsidR="008526D2" w:rsidRPr="002E5485">
        <w:rPr>
          <w:rFonts w:ascii="Gellix" w:hAnsi="Gellix"/>
        </w:rPr>
        <w:t>, by the consortium.</w:t>
      </w:r>
    </w:p>
    <w:p w14:paraId="40FB34D1" w14:textId="78EC53C1" w:rsidR="00D60F81" w:rsidRPr="002E5485" w:rsidRDefault="00D60F81" w:rsidP="00D60F81">
      <w:pPr>
        <w:spacing w:after="0" w:line="300" w:lineRule="auto"/>
        <w:rPr>
          <w:rFonts w:ascii="Gellix" w:hAnsi="Gellix"/>
          <w:u w:val="single"/>
        </w:rPr>
      </w:pPr>
      <w:r>
        <w:rPr>
          <w:rFonts w:ascii="Gellix" w:hAnsi="Gellix"/>
        </w:rPr>
        <w:t xml:space="preserve">Project start: </w:t>
      </w:r>
      <w:r w:rsidRPr="002E5485">
        <w:rPr>
          <w:rFonts w:ascii="Gellix" w:hAnsi="Gellix"/>
          <w:u w:val="single"/>
        </w:rPr>
        <w:t>Spring 2023</w:t>
      </w:r>
      <w:r>
        <w:rPr>
          <w:rFonts w:ascii="Gellix" w:hAnsi="Gellix"/>
          <w:u w:val="single"/>
        </w:rPr>
        <w:t>,</w:t>
      </w:r>
    </w:p>
    <w:p w14:paraId="220FCB0E" w14:textId="77777777" w:rsidR="004E226E" w:rsidRPr="00D60F81" w:rsidRDefault="004E226E" w:rsidP="00D60F81">
      <w:pPr>
        <w:spacing w:after="0" w:line="300" w:lineRule="auto"/>
        <w:rPr>
          <w:rFonts w:ascii="Gellix" w:hAnsi="Gellix"/>
        </w:rPr>
      </w:pPr>
    </w:p>
    <w:p w14:paraId="631595CF" w14:textId="6BA49E53" w:rsidR="00A734D6" w:rsidRPr="002E5485" w:rsidRDefault="008526D2" w:rsidP="008D481F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  <w:b/>
          <w:bCs/>
        </w:rPr>
        <w:t>Application date</w:t>
      </w:r>
    </w:p>
    <w:p w14:paraId="5C73EC47" w14:textId="6692DA97" w:rsidR="0090082F" w:rsidRPr="002E5485" w:rsidRDefault="00A734D6" w:rsidP="00C503C1">
      <w:pPr>
        <w:spacing w:after="0" w:line="300" w:lineRule="auto"/>
        <w:rPr>
          <w:rFonts w:ascii="Gellix" w:hAnsi="Gellix"/>
          <w:u w:val="single"/>
        </w:rPr>
      </w:pPr>
      <w:r w:rsidRPr="002E5485">
        <w:rPr>
          <w:rFonts w:ascii="Gellix" w:hAnsi="Gellix"/>
          <w:u w:val="single"/>
        </w:rPr>
        <w:t>by 4 October 12:00:00 (midday Brussels time) for projects starting between 1 January and 31 August of the following year.</w:t>
      </w:r>
    </w:p>
    <w:p w14:paraId="5A93D846" w14:textId="77777777" w:rsidR="007F18D2" w:rsidRPr="002E5485" w:rsidRDefault="007F18D2" w:rsidP="007F18D2">
      <w:pPr>
        <w:spacing w:after="0" w:line="300" w:lineRule="auto"/>
        <w:rPr>
          <w:rFonts w:ascii="Gellix" w:hAnsi="Gellix"/>
          <w:b/>
          <w:bCs/>
        </w:rPr>
      </w:pPr>
    </w:p>
    <w:p w14:paraId="5993A30C" w14:textId="255AC546" w:rsidR="007044FA" w:rsidRPr="002E5485" w:rsidRDefault="007044FA" w:rsidP="007F18D2">
      <w:pPr>
        <w:spacing w:after="0" w:line="300" w:lineRule="auto"/>
        <w:rPr>
          <w:rFonts w:ascii="Gellix" w:hAnsi="Gellix"/>
          <w:u w:val="single"/>
        </w:rPr>
      </w:pPr>
      <w:r w:rsidRPr="002E5485">
        <w:rPr>
          <w:rFonts w:ascii="Gellix" w:hAnsi="Gellix"/>
          <w:b/>
          <w:bCs/>
        </w:rPr>
        <w:t>Funding rules</w:t>
      </w:r>
      <w:r w:rsidR="00F81E77" w:rsidRPr="002E5485">
        <w:rPr>
          <w:rFonts w:ascii="Gellix" w:hAnsi="Gellix"/>
          <w:b/>
          <w:bCs/>
        </w:rPr>
        <w:t xml:space="preserve"> and indicative budget</w:t>
      </w:r>
    </w:p>
    <w:p w14:paraId="0E0D568A" w14:textId="717B5922" w:rsidR="007044FA" w:rsidRPr="002E5485" w:rsidRDefault="00E0150A" w:rsidP="00C503C1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A</w:t>
      </w:r>
      <w:r w:rsidR="007044FA" w:rsidRPr="002E5485">
        <w:rPr>
          <w:rFonts w:ascii="Gellix" w:hAnsi="Gellix"/>
        </w:rPr>
        <w:t>pplicants must ensur</w:t>
      </w:r>
      <w:r w:rsidR="009C608B" w:rsidRPr="002E5485">
        <w:rPr>
          <w:rFonts w:ascii="Gellix" w:hAnsi="Gellix"/>
        </w:rPr>
        <w:t>e</w:t>
      </w:r>
      <w:r w:rsidR="007044FA" w:rsidRPr="002E5485">
        <w:rPr>
          <w:rFonts w:ascii="Gellix" w:hAnsi="Gellix"/>
        </w:rPr>
        <w:t xml:space="preserve"> an efficient use of the funds and the respect of the </w:t>
      </w:r>
      <w:r w:rsidR="007044FA" w:rsidRPr="002E5485">
        <w:rPr>
          <w:rFonts w:ascii="Gellix" w:hAnsi="Gellix"/>
          <w:b/>
          <w:bCs/>
        </w:rPr>
        <w:t>co-financing principle</w:t>
      </w:r>
      <w:r w:rsidR="00597A99">
        <w:rPr>
          <w:rFonts w:ascii="Gellix" w:hAnsi="Gellix"/>
          <w:b/>
          <w:bCs/>
        </w:rPr>
        <w:t>.</w:t>
      </w:r>
      <w:r w:rsidR="007044FA" w:rsidRPr="002E5485">
        <w:rPr>
          <w:rFonts w:ascii="Gellix" w:hAnsi="Gellix"/>
        </w:rPr>
        <w:t xml:space="preserve"> </w:t>
      </w:r>
      <w:r w:rsidR="00064E1F" w:rsidRPr="002E5485">
        <w:rPr>
          <w:rFonts w:ascii="Gellix" w:hAnsi="Gellix"/>
        </w:rPr>
        <w:br/>
      </w:r>
      <w:r w:rsidR="00064E1F" w:rsidRPr="002E5485">
        <w:rPr>
          <w:rFonts w:ascii="Gellix" w:hAnsi="Gellix"/>
        </w:rPr>
        <w:br/>
        <w:t xml:space="preserve">In line with the </w:t>
      </w:r>
      <w:r w:rsidR="00064E1F" w:rsidRPr="002E5485">
        <w:rPr>
          <w:rFonts w:ascii="Gellix" w:hAnsi="Gellix"/>
          <w:b/>
          <w:bCs/>
        </w:rPr>
        <w:t>no-profit principle</w:t>
      </w:r>
      <w:r w:rsidR="00064E1F" w:rsidRPr="002E5485">
        <w:rPr>
          <w:rFonts w:ascii="Gellix" w:hAnsi="Gellix"/>
        </w:rPr>
        <w:t xml:space="preserve"> Grants shall not</w:t>
      </w:r>
      <w:r w:rsidR="00E64FFD">
        <w:rPr>
          <w:rFonts w:ascii="Gellix" w:hAnsi="Gellix"/>
        </w:rPr>
        <w:t xml:space="preserve"> </w:t>
      </w:r>
      <w:r w:rsidR="00064E1F" w:rsidRPr="002E5485">
        <w:rPr>
          <w:rFonts w:ascii="Gellix" w:hAnsi="Gellix"/>
        </w:rPr>
        <w:t>have the purpose or effect of producing a profit within the framework of the action or the work programme of the beneficiary.</w:t>
      </w:r>
    </w:p>
    <w:p w14:paraId="2D3F1DF9" w14:textId="77777777" w:rsidR="00C503C1" w:rsidRPr="002E5485" w:rsidRDefault="00C503C1" w:rsidP="004E226E">
      <w:pPr>
        <w:spacing w:after="0" w:line="300" w:lineRule="auto"/>
        <w:ind w:left="708"/>
        <w:rPr>
          <w:rFonts w:ascii="Gellix" w:hAnsi="Gellix"/>
        </w:rPr>
      </w:pPr>
    </w:p>
    <w:p w14:paraId="2382C80F" w14:textId="09C754CB" w:rsidR="007044FA" w:rsidRPr="002E5485" w:rsidRDefault="007044FA" w:rsidP="00C503C1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Single lump sum amount</w:t>
      </w:r>
      <w:r w:rsidR="008E31F1" w:rsidRPr="002E5485">
        <w:rPr>
          <w:rFonts w:ascii="Gellix" w:hAnsi="Gellix"/>
        </w:rPr>
        <w:t>:</w:t>
      </w:r>
      <w:r w:rsidR="00C00F43" w:rsidRPr="002E5485">
        <w:rPr>
          <w:rFonts w:ascii="Gellix" w:hAnsi="Gellix"/>
        </w:rPr>
        <w:t xml:space="preserve"> </w:t>
      </w:r>
      <w:r w:rsidRPr="002E5485">
        <w:rPr>
          <w:rFonts w:ascii="Gellix" w:hAnsi="Gellix"/>
          <w:b/>
          <w:bCs/>
        </w:rPr>
        <w:t>60 000 EUR</w:t>
      </w:r>
      <w:r w:rsidR="009C608B" w:rsidRPr="002E5485">
        <w:rPr>
          <w:rFonts w:ascii="Gellix" w:hAnsi="Gellix"/>
        </w:rPr>
        <w:t xml:space="preserve"> </w:t>
      </w:r>
      <w:r w:rsidR="00F37F24" w:rsidRPr="002E5485">
        <w:rPr>
          <w:rFonts w:ascii="Gellix" w:hAnsi="Gellix"/>
        </w:rPr>
        <w:t>(co-financing</w:t>
      </w:r>
      <w:r w:rsidR="008E31F1" w:rsidRPr="002E5485">
        <w:rPr>
          <w:rFonts w:ascii="Gellix" w:hAnsi="Gellix"/>
        </w:rPr>
        <w:t>)</w:t>
      </w:r>
    </w:p>
    <w:p w14:paraId="434327F2" w14:textId="68686808" w:rsidR="00C00F43" w:rsidRPr="002E5485" w:rsidRDefault="00133EF6" w:rsidP="00C503C1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Overall budget</w:t>
      </w:r>
      <w:r w:rsidR="00AF3274" w:rsidRPr="002E5485">
        <w:rPr>
          <w:rFonts w:ascii="Gellix" w:hAnsi="Gellix"/>
        </w:rPr>
        <w:t>:</w:t>
      </w:r>
      <w:r w:rsidR="00C00F43" w:rsidRPr="002E5485">
        <w:rPr>
          <w:rFonts w:ascii="Gellix" w:hAnsi="Gellix"/>
        </w:rPr>
        <w:t xml:space="preserve"> </w:t>
      </w:r>
      <w:r w:rsidR="008E31F1" w:rsidRPr="002E5485">
        <w:rPr>
          <w:rFonts w:ascii="Gellix" w:hAnsi="Gellix"/>
          <w:b/>
          <w:bCs/>
        </w:rPr>
        <w:t>66 000 EUR</w:t>
      </w:r>
      <w:r w:rsidR="008E31F1" w:rsidRPr="002E5485">
        <w:rPr>
          <w:rFonts w:ascii="Gellix" w:hAnsi="Gellix"/>
        </w:rPr>
        <w:t xml:space="preserve"> </w:t>
      </w:r>
      <w:r w:rsidRPr="002E5485">
        <w:rPr>
          <w:rFonts w:ascii="Gellix" w:hAnsi="Gellix"/>
        </w:rPr>
        <w:t>co-financing complemented with other funding sources</w:t>
      </w:r>
      <w:r w:rsidR="00064E1F" w:rsidRPr="002E5485">
        <w:rPr>
          <w:rFonts w:ascii="Gellix" w:hAnsi="Gellix"/>
        </w:rPr>
        <w:t>.</w:t>
      </w:r>
      <w:r w:rsidRPr="002E5485">
        <w:rPr>
          <w:rFonts w:ascii="Gellix" w:hAnsi="Gellix"/>
        </w:rPr>
        <w:t xml:space="preserve"> </w:t>
      </w:r>
      <w:r w:rsidR="00064E1F" w:rsidRPr="002E5485">
        <w:rPr>
          <w:rFonts w:ascii="Gellix" w:hAnsi="Gellix"/>
        </w:rPr>
        <w:br/>
        <w:t>Co-financing may be provided in the form of the beneficiary’s own</w:t>
      </w:r>
      <w:r w:rsidR="00A607B9" w:rsidRPr="002E5485">
        <w:rPr>
          <w:rFonts w:ascii="Gellix" w:hAnsi="Gellix"/>
        </w:rPr>
        <w:t xml:space="preserve"> financial</w:t>
      </w:r>
      <w:r w:rsidR="00064E1F" w:rsidRPr="002E5485">
        <w:rPr>
          <w:rFonts w:ascii="Gellix" w:hAnsi="Gellix"/>
        </w:rPr>
        <w:t xml:space="preserve"> contribution</w:t>
      </w:r>
      <w:r w:rsidR="00A607B9" w:rsidRPr="002E5485">
        <w:rPr>
          <w:rFonts w:ascii="Gellix" w:hAnsi="Gellix"/>
        </w:rPr>
        <w:t xml:space="preserve"> and/or</w:t>
      </w:r>
      <w:r w:rsidR="00064E1F" w:rsidRPr="002E5485">
        <w:rPr>
          <w:rFonts w:ascii="Gellix" w:hAnsi="Gellix"/>
        </w:rPr>
        <w:t xml:space="preserve"> own resources</w:t>
      </w:r>
      <w:r w:rsidR="00A607B9" w:rsidRPr="002E5485">
        <w:rPr>
          <w:rFonts w:ascii="Gellix" w:hAnsi="Gellix"/>
        </w:rPr>
        <w:t>.</w:t>
      </w:r>
      <w:r w:rsidR="00A607B9" w:rsidRPr="002E5485">
        <w:rPr>
          <w:rFonts w:ascii="Gellix" w:hAnsi="Gellix"/>
        </w:rPr>
        <w:br/>
      </w:r>
    </w:p>
    <w:p w14:paraId="52A71C51" w14:textId="2B60A6C8" w:rsidR="007044FA" w:rsidRPr="002E5485" w:rsidRDefault="009C608B" w:rsidP="00C503C1">
      <w:pPr>
        <w:spacing w:after="0" w:line="300" w:lineRule="auto"/>
        <w:rPr>
          <w:rFonts w:ascii="Gellix" w:hAnsi="Gellix"/>
        </w:rPr>
      </w:pPr>
      <w:r w:rsidRPr="006F1E3D">
        <w:rPr>
          <w:rFonts w:ascii="Gellix" w:hAnsi="Gellix"/>
          <w:b/>
          <w:bCs/>
        </w:rPr>
        <w:t xml:space="preserve">Lead Partner: </w:t>
      </w:r>
      <w:r w:rsidR="007044FA" w:rsidRPr="006F1E3D">
        <w:rPr>
          <w:rFonts w:ascii="Gellix" w:hAnsi="Gellix"/>
          <w:b/>
          <w:bCs/>
        </w:rPr>
        <w:t>Experiment Science Centre</w:t>
      </w:r>
      <w:r w:rsidR="007044FA" w:rsidRPr="002E5485">
        <w:rPr>
          <w:rFonts w:ascii="Gellix" w:hAnsi="Gellix"/>
        </w:rPr>
        <w:t xml:space="preserve"> - 25 000 EUR + </w:t>
      </w:r>
      <w:r w:rsidR="008E31F1" w:rsidRPr="002E5485">
        <w:rPr>
          <w:rFonts w:ascii="Gellix" w:hAnsi="Gellix"/>
        </w:rPr>
        <w:t xml:space="preserve">2 000 EUR </w:t>
      </w:r>
      <w:r w:rsidR="007044FA" w:rsidRPr="002E5485">
        <w:rPr>
          <w:rFonts w:ascii="Gellix" w:hAnsi="Gellix"/>
        </w:rPr>
        <w:t>complemented with other funding sources</w:t>
      </w:r>
      <w:r w:rsidRPr="002E5485">
        <w:rPr>
          <w:rFonts w:ascii="Gellix" w:hAnsi="Gellix"/>
        </w:rPr>
        <w:t xml:space="preserve"> (e.g. own contribution)</w:t>
      </w:r>
    </w:p>
    <w:p w14:paraId="0E528C06" w14:textId="326A1ADF" w:rsidR="009C608B" w:rsidRPr="002E5485" w:rsidRDefault="007044FA" w:rsidP="00C503C1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>Partner 1 - 17 500 EUR</w:t>
      </w:r>
      <w:r w:rsidR="00FC66A9" w:rsidRPr="002E5485">
        <w:rPr>
          <w:rFonts w:ascii="Gellix" w:hAnsi="Gellix"/>
        </w:rPr>
        <w:t xml:space="preserve"> (co-financing)</w:t>
      </w:r>
      <w:r w:rsidR="009C608B" w:rsidRPr="002E5485">
        <w:rPr>
          <w:rFonts w:ascii="Gellix" w:hAnsi="Gellix"/>
        </w:rPr>
        <w:t xml:space="preserve"> + </w:t>
      </w:r>
      <w:r w:rsidR="008E31F1" w:rsidRPr="002E5485">
        <w:rPr>
          <w:rFonts w:ascii="Gellix" w:hAnsi="Gellix"/>
        </w:rPr>
        <w:t>2 000 EUR</w:t>
      </w:r>
      <w:r w:rsidR="009C608B" w:rsidRPr="002E5485">
        <w:rPr>
          <w:rFonts w:ascii="Gellix" w:hAnsi="Gellix"/>
        </w:rPr>
        <w:t xml:space="preserve"> complemented with other funding sources (e.g. own contribution)</w:t>
      </w:r>
    </w:p>
    <w:p w14:paraId="59F0C196" w14:textId="6150ED3B" w:rsidR="009C608B" w:rsidRDefault="007044FA" w:rsidP="00C503C1">
      <w:pPr>
        <w:spacing w:after="0" w:line="300" w:lineRule="auto"/>
        <w:rPr>
          <w:rFonts w:ascii="Gellix" w:hAnsi="Gellix"/>
        </w:rPr>
      </w:pPr>
      <w:r w:rsidRPr="002E5485">
        <w:rPr>
          <w:rFonts w:ascii="Gellix" w:hAnsi="Gellix"/>
        </w:rPr>
        <w:t xml:space="preserve">Partner 2 </w:t>
      </w:r>
      <w:r w:rsidR="00C503C1" w:rsidRPr="002E5485">
        <w:rPr>
          <w:rFonts w:ascii="Gellix" w:hAnsi="Gellix"/>
        </w:rPr>
        <w:t xml:space="preserve">- </w:t>
      </w:r>
      <w:r w:rsidR="00F37FEB">
        <w:rPr>
          <w:rFonts w:ascii="Gellix" w:hAnsi="Gellix"/>
        </w:rPr>
        <w:t xml:space="preserve">as above. </w:t>
      </w:r>
    </w:p>
    <w:p w14:paraId="397C4A5D" w14:textId="77777777" w:rsidR="00E87464" w:rsidRPr="002E5485" w:rsidRDefault="00E87464" w:rsidP="00C503C1">
      <w:pPr>
        <w:spacing w:after="0" w:line="300" w:lineRule="auto"/>
        <w:rPr>
          <w:rFonts w:ascii="Gellix" w:hAnsi="Gellix"/>
        </w:rPr>
      </w:pPr>
    </w:p>
    <w:p w14:paraId="6F3B5EB7" w14:textId="2F80B900" w:rsidR="00C00F43" w:rsidRPr="00E87464" w:rsidRDefault="00E64FFD" w:rsidP="008D481F">
      <w:pPr>
        <w:spacing w:after="0" w:line="300" w:lineRule="auto"/>
        <w:rPr>
          <w:rFonts w:ascii="Gellix" w:hAnsi="Gellix"/>
          <w:b/>
          <w:bCs/>
        </w:rPr>
      </w:pPr>
      <w:r w:rsidRPr="00E64FFD">
        <w:rPr>
          <w:rFonts w:ascii="Gellix" w:hAnsi="Gellix"/>
          <w:b/>
          <w:bCs/>
        </w:rPr>
        <w:t>More information about the program</w:t>
      </w:r>
      <w:r>
        <w:rPr>
          <w:rFonts w:ascii="Gellix" w:hAnsi="Gellix"/>
          <w:b/>
          <w:bCs/>
        </w:rPr>
        <w:t>me</w:t>
      </w:r>
      <w:r w:rsidRPr="00E64FFD">
        <w:rPr>
          <w:rFonts w:ascii="Gellix" w:hAnsi="Gellix"/>
          <w:b/>
          <w:bCs/>
        </w:rPr>
        <w:t>:</w:t>
      </w:r>
    </w:p>
    <w:p w14:paraId="00717CD9" w14:textId="2B856BEF" w:rsidR="00A734D6" w:rsidRPr="002E5485" w:rsidRDefault="002E0976" w:rsidP="008D481F">
      <w:pPr>
        <w:spacing w:after="0" w:line="300" w:lineRule="auto"/>
        <w:rPr>
          <w:rFonts w:ascii="Gellix" w:hAnsi="Gellix"/>
          <w:color w:val="1F3864" w:themeColor="accent1" w:themeShade="80"/>
          <w:u w:val="single"/>
        </w:rPr>
      </w:pPr>
      <w:r w:rsidRPr="002E5485">
        <w:rPr>
          <w:rFonts w:ascii="Gellix" w:hAnsi="Gellix"/>
          <w:color w:val="1F3864" w:themeColor="accent1" w:themeShade="80"/>
          <w:u w:val="single"/>
        </w:rPr>
        <w:t>https://erasmus-plus.ec.europa.eu/programme-guide/part-b/key-action-2/small-scale-partnerships</w:t>
      </w:r>
    </w:p>
    <w:sectPr w:rsidR="00A734D6" w:rsidRPr="002E5485" w:rsidSect="002E5485">
      <w:headerReference w:type="default" r:id="rId7"/>
      <w:foot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C81C" w14:textId="77777777" w:rsidR="00A843DB" w:rsidRDefault="00A843DB" w:rsidP="002371E2">
      <w:pPr>
        <w:spacing w:after="0" w:line="240" w:lineRule="auto"/>
      </w:pPr>
      <w:r>
        <w:separator/>
      </w:r>
    </w:p>
  </w:endnote>
  <w:endnote w:type="continuationSeparator" w:id="0">
    <w:p w14:paraId="4E910D4A" w14:textId="77777777" w:rsidR="00A843DB" w:rsidRDefault="00A843DB" w:rsidP="0023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llix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41109"/>
      <w:docPartObj>
        <w:docPartGallery w:val="Page Numbers (Bottom of Page)"/>
        <w:docPartUnique/>
      </w:docPartObj>
    </w:sdtPr>
    <w:sdtContent>
      <w:p w14:paraId="4756E265" w14:textId="6DF4B801" w:rsidR="006D0790" w:rsidRDefault="006D07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269B1CD" w14:textId="77777777" w:rsidR="006D0790" w:rsidRDefault="006D0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C089" w14:textId="77777777" w:rsidR="00A843DB" w:rsidRDefault="00A843DB" w:rsidP="002371E2">
      <w:pPr>
        <w:spacing w:after="0" w:line="240" w:lineRule="auto"/>
      </w:pPr>
      <w:r>
        <w:separator/>
      </w:r>
    </w:p>
  </w:footnote>
  <w:footnote w:type="continuationSeparator" w:id="0">
    <w:p w14:paraId="7DA5ADD8" w14:textId="77777777" w:rsidR="00A843DB" w:rsidRDefault="00A843DB" w:rsidP="0023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BD02" w14:textId="24A6B2A9" w:rsidR="002371E2" w:rsidRDefault="002371E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20C3C1" wp14:editId="06BEA083">
          <wp:simplePos x="0" y="0"/>
          <wp:positionH relativeFrom="margin">
            <wp:posOffset>3557270</wp:posOffset>
          </wp:positionH>
          <wp:positionV relativeFrom="margin">
            <wp:posOffset>-673698</wp:posOffset>
          </wp:positionV>
          <wp:extent cx="2965615" cy="67373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61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AC6"/>
    <w:multiLevelType w:val="hybridMultilevel"/>
    <w:tmpl w:val="13505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4FF3"/>
    <w:multiLevelType w:val="hybridMultilevel"/>
    <w:tmpl w:val="D78EF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87BF2"/>
    <w:multiLevelType w:val="hybridMultilevel"/>
    <w:tmpl w:val="50D0B104"/>
    <w:lvl w:ilvl="0" w:tplc="DE6449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5628F0"/>
    <w:multiLevelType w:val="hybridMultilevel"/>
    <w:tmpl w:val="6D688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F6470"/>
    <w:multiLevelType w:val="hybridMultilevel"/>
    <w:tmpl w:val="C9FC3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1524"/>
    <w:multiLevelType w:val="hybridMultilevel"/>
    <w:tmpl w:val="7DE2AAEE"/>
    <w:lvl w:ilvl="0" w:tplc="F54E34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784326">
    <w:abstractNumId w:val="3"/>
  </w:num>
  <w:num w:numId="2" w16cid:durableId="571350677">
    <w:abstractNumId w:val="4"/>
  </w:num>
  <w:num w:numId="3" w16cid:durableId="702095494">
    <w:abstractNumId w:val="5"/>
  </w:num>
  <w:num w:numId="4" w16cid:durableId="1858421327">
    <w:abstractNumId w:val="0"/>
  </w:num>
  <w:num w:numId="5" w16cid:durableId="1756397341">
    <w:abstractNumId w:val="1"/>
  </w:num>
  <w:num w:numId="6" w16cid:durableId="579678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CD"/>
    <w:rsid w:val="00064E1F"/>
    <w:rsid w:val="00133EF6"/>
    <w:rsid w:val="0015274D"/>
    <w:rsid w:val="001729BE"/>
    <w:rsid w:val="002371E2"/>
    <w:rsid w:val="002A037F"/>
    <w:rsid w:val="002E0976"/>
    <w:rsid w:val="002E5485"/>
    <w:rsid w:val="002F4D5E"/>
    <w:rsid w:val="00385586"/>
    <w:rsid w:val="003915C9"/>
    <w:rsid w:val="003938DB"/>
    <w:rsid w:val="00396F1E"/>
    <w:rsid w:val="00414B3B"/>
    <w:rsid w:val="0042039A"/>
    <w:rsid w:val="00481198"/>
    <w:rsid w:val="004E226E"/>
    <w:rsid w:val="005253DA"/>
    <w:rsid w:val="0054590C"/>
    <w:rsid w:val="00577C2A"/>
    <w:rsid w:val="00597A99"/>
    <w:rsid w:val="00680320"/>
    <w:rsid w:val="006D0790"/>
    <w:rsid w:val="006E0A61"/>
    <w:rsid w:val="006F1E3D"/>
    <w:rsid w:val="007044FA"/>
    <w:rsid w:val="00751DE9"/>
    <w:rsid w:val="00785718"/>
    <w:rsid w:val="007D7245"/>
    <w:rsid w:val="007E2A9A"/>
    <w:rsid w:val="007F18D2"/>
    <w:rsid w:val="00814F53"/>
    <w:rsid w:val="00850C1F"/>
    <w:rsid w:val="008526D2"/>
    <w:rsid w:val="00870358"/>
    <w:rsid w:val="008D481F"/>
    <w:rsid w:val="008E31F1"/>
    <w:rsid w:val="0090082F"/>
    <w:rsid w:val="009336F2"/>
    <w:rsid w:val="009A7AA2"/>
    <w:rsid w:val="009C608B"/>
    <w:rsid w:val="009D59F0"/>
    <w:rsid w:val="00A607B9"/>
    <w:rsid w:val="00A734D6"/>
    <w:rsid w:val="00A843DB"/>
    <w:rsid w:val="00AC1502"/>
    <w:rsid w:val="00AF3274"/>
    <w:rsid w:val="00B30F99"/>
    <w:rsid w:val="00C00F43"/>
    <w:rsid w:val="00C503C1"/>
    <w:rsid w:val="00C525CF"/>
    <w:rsid w:val="00CD4221"/>
    <w:rsid w:val="00D60F81"/>
    <w:rsid w:val="00D80B5B"/>
    <w:rsid w:val="00E0150A"/>
    <w:rsid w:val="00E5524A"/>
    <w:rsid w:val="00E64FFD"/>
    <w:rsid w:val="00E8180A"/>
    <w:rsid w:val="00E87464"/>
    <w:rsid w:val="00F24E4E"/>
    <w:rsid w:val="00F3014A"/>
    <w:rsid w:val="00F37F24"/>
    <w:rsid w:val="00F37FEB"/>
    <w:rsid w:val="00F43076"/>
    <w:rsid w:val="00F81E77"/>
    <w:rsid w:val="00F9317C"/>
    <w:rsid w:val="00FC66A9"/>
    <w:rsid w:val="00FC6BCD"/>
    <w:rsid w:val="00FC7555"/>
    <w:rsid w:val="00FD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B548A"/>
  <w15:chartTrackingRefBased/>
  <w15:docId w15:val="{E21678DB-A029-4292-AE6C-B28D3980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37F"/>
    <w:pPr>
      <w:ind w:left="720"/>
      <w:contextualSpacing/>
    </w:pPr>
  </w:style>
  <w:style w:type="paragraph" w:styleId="Poprawka">
    <w:name w:val="Revision"/>
    <w:hidden/>
    <w:uiPriority w:val="99"/>
    <w:semiHidden/>
    <w:rsid w:val="009A7AA2"/>
    <w:pPr>
      <w:spacing w:after="0" w:line="240" w:lineRule="auto"/>
    </w:pPr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3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17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17C"/>
    <w:rPr>
      <w:b/>
      <w:bCs/>
      <w:sz w:val="20"/>
      <w:szCs w:val="20"/>
      <w:lang w:val="en-GB"/>
    </w:rPr>
  </w:style>
  <w:style w:type="paragraph" w:customStyle="1" w:styleId="Default">
    <w:name w:val="Default"/>
    <w:rsid w:val="005459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7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1E2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37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1E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Pelka</dc:creator>
  <cp:keywords/>
  <dc:description/>
  <cp:lastModifiedBy>Aleksander Pelka</cp:lastModifiedBy>
  <cp:revision>4</cp:revision>
  <dcterms:created xsi:type="dcterms:W3CDTF">2022-09-05T11:33:00Z</dcterms:created>
  <dcterms:modified xsi:type="dcterms:W3CDTF">2022-09-06T09:00:00Z</dcterms:modified>
</cp:coreProperties>
</file>